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崇真幼儿园教科研活动记录</w:t>
      </w:r>
      <w:bookmarkStart w:id="0" w:name="_GoBack"/>
      <w:bookmarkEnd w:id="0"/>
    </w:p>
    <w:tbl>
      <w:tblPr>
        <w:tblStyle w:val="7"/>
        <w:tblpPr w:leftFromText="180" w:rightFromText="180" w:vertAnchor="text" w:horzAnchor="margin" w:tblpY="104"/>
        <w:tblW w:w="9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99"/>
        <w:gridCol w:w="851"/>
        <w:gridCol w:w="2270"/>
        <w:gridCol w:w="992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研讨时间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2023.12.12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音体室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丁小燕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丁小燕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研讨主题</w:t>
            </w:r>
          </w:p>
        </w:tc>
        <w:tc>
          <w:tcPr>
            <w:tcW w:w="873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“音”你而来，做“足”功夫——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幼儿园公共区域环创教研活动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各位老师，大家中午好！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如果环境会说话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那么幼儿园的环境一定诉说着老师对幼儿的用心</w:t>
            </w:r>
            <w:r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  <w:t>。为了创设充满童趣的户外游戏区域，点燃孩子参与音乐墙和足球角的热情，在“玩”中欣赏音乐、感受足球，提高教师户外游戏区域的观察和指导能力，今天我们相聚于此，开展户外音乐墙和足球角创设主题教研活动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二、成员介绍：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崇真幼儿园全体成员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三、活动流程：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分享时刻 经验互融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我的环境 自己做主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聚焦问题 群策群力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归纳提升 达成共识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四、具体活动内容：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主持人：</w:t>
            </w:r>
            <w:r>
              <w:rPr>
                <w:rFonts w:hint="eastAsia"/>
                <w:kern w:val="0"/>
                <w:szCs w:val="21"/>
              </w:rPr>
              <w:t>为了调动老师的参与性与积极性，给老师们创造一个相互交流、相互学习的研讨平台，</w:t>
            </w:r>
            <w:r>
              <w:rPr>
                <w:rFonts w:hint="eastAsia"/>
                <w:kern w:val="0"/>
                <w:szCs w:val="21"/>
                <w:lang w:eastAsia="zh-CN"/>
              </w:rPr>
              <w:t>这里有老师们自主</w:t>
            </w:r>
            <w:r>
              <w:rPr>
                <w:rFonts w:hint="eastAsia"/>
                <w:kern w:val="0"/>
                <w:szCs w:val="21"/>
              </w:rPr>
              <w:t>分享班级幼儿进行音乐游戏和足球游戏的</w:t>
            </w:r>
            <w:r>
              <w:rPr>
                <w:rFonts w:hint="eastAsia"/>
                <w:kern w:val="0"/>
                <w:szCs w:val="21"/>
                <w:lang w:eastAsia="zh-CN"/>
              </w:rPr>
              <w:t>一些</w:t>
            </w:r>
            <w:r>
              <w:rPr>
                <w:rFonts w:hint="eastAsia"/>
                <w:kern w:val="0"/>
                <w:szCs w:val="21"/>
              </w:rPr>
              <w:t>照片</w:t>
            </w:r>
            <w:r>
              <w:rPr>
                <w:rFonts w:hint="eastAsia"/>
                <w:kern w:val="0"/>
                <w:szCs w:val="21"/>
                <w:lang w:eastAsia="zh-CN"/>
              </w:rPr>
              <w:t>，请各位</w:t>
            </w:r>
            <w:r>
              <w:rPr>
                <w:rFonts w:hint="eastAsia"/>
                <w:kern w:val="0"/>
                <w:szCs w:val="21"/>
              </w:rPr>
              <w:t>老师结合幼儿园音乐墙和足球角的现有环境，仔细观看、认真思考，就如何进行环境改造发表了各自的看法和见解。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郝佳颖：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一个真正“有准备的环境”，才是属于孩子自己的舞台。《评估指南》中关于“环境创设”清晰指出了空间设施、玩具材料两项关键指标，旨在促进幼儿园积极创设丰富适宜、富有童趣、有利于支持幼儿学习探索的教育环境。为有效发挥班级环境创设的作用，突出幼儿的主体地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1" w:firstLineChars="195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邹斐：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根据《评估指南》精神和各班幼儿实际情况，我们可以基于不同年龄段孩子的年龄特点，从环境创设、内容设计、表现形式、空间利用等方面展开环境创设与改造。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赵慧：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 xml:space="preserve"> 孩子是幼儿园的主人，幼儿园环境改造更不能忽视孩子们的需求。在游戏活动中，孩子的喜好不同，他们经常参与的区域也各不相同。根据幼儿的个性差异和能力差异，我们可以开展不同的活动。对小中大各年段的幼儿进行谈话、问题收集等，在实施的过程中，我们发现孩子们对于环境创设有很多自己的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何雪莹：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根据幼儿的兴趣和能力水平的变化，我们优化设置了音乐墙、足球角环境。在此基础上我们进行了再造，撤下了不适合幼儿操作的材料与多余版面，替换上符合各年龄段且易于操作的游戏材料，增强了活动的趣味性，也激发了幼儿游戏的积极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孙佳微：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在环境创设中，以幼儿发展的需要为目的，充分发挥幼儿的主体作用，引导幼儿与环境积极互动，用富有童趣的游戏场景来激发幼儿游戏的兴趣也是很重要的。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主持人：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通过老师们的积极思考，我这里也汇总了老师们存在的一些共性问题，请大家就以下几个问题展开了一场思维的碰撞。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在有限的空间里，如何创设音乐墙和足球角的环境？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孙佳微：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我们通过前期观察、讨论、研究，后期分工、采购、收集，如锅碗瓢盆、搓衣板、酒瓶、风铃，PVC管等，再通过分类、筛选、加工装饰相应材料并上墙，合理设置户外音乐墙，形成五大块内容：水管联欢、木乐声声、旋转风铃、瓶乐声声、厨房音乐会。最后投放不同类型不同材质的敲击棒（架子鼓棒、橡胶头木棒、饭勺等）供幼儿自主选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户外游戏区域中，如何体现材料的趣味性？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邹斐：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可以从感官上入手，比如在视觉上：PVC管，望眼粉蓝的酒瓶系列，精心装饰的锅碗瓢盆等；听觉上：迷人天籁的强弱音质，回声荡漾的清脆音色等。这无不吸引着幼儿的目光，汇聚着孩子的向往。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如何合理安排音乐墙开放时间？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郝佳颖：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在日常生活中，譬如每天来园、餐后、离园时播放音乐，那一首首悠扬的歌曲，旋律优美，把幼儿带入诗一般的意境，他们情不自禁地徒手去摸一摸、拍一拍、打一打，抑或是选取所提供的敲击棒去敲打感受。放学了，孩子们经过音乐墙，敲敲、玩玩，这个墙面敲几下，那个墙面拍打下……户外音乐墙的新鲜环境激发了幼儿浓厚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郝佳颖：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是的，我觉得老师们还可以利用一些空余时间，带领幼儿参观知悉各个音乐墙面内容，告知注意事项，渗透常规教育，通过体验，让幼儿深入接触户外音乐墙,从而让幼儿更好地进行户外音乐游戏活动。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主持人：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皮亚杰儿童发展理论告诉我们:“ 儿童发展就其过程而言应该是一样的，是不以人的意志为转移的。而环境条件如何，儿童接受刺激机会如何，直接影响着儿童发展的速度。”我们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崇幼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在坚持足球特色园的研究之路上，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更要</w:t>
            </w:r>
            <w:r>
              <w:rPr>
                <w:rFonts w:hint="eastAsia"/>
                <w:b w:val="0"/>
                <w:bCs w:val="0"/>
                <w:kern w:val="0"/>
                <w:szCs w:val="21"/>
              </w:rPr>
              <w:t>充分认识到环境资源在游戏中的重要性。游戏环境的创建是足球活动开展的基础性条件，要让幼儿走进足球，爱上足球，首先要从创设一个丰富立体的游戏环境入手，将足球文化渗透在环境中，让幼儿在与环境的有效互动中激发对足球的兴趣。</w:t>
            </w:r>
            <w:r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  <w:t>以听共学，以评促教，“音”你而来，做“足”功夫！这是一次有爱、有趣、有料、有思的户外环境改造教研活动，老师们都在此产生了思维的碰撞、专业的成长和提高。本次教研活动到此结束，期待下一次的相遇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b w:val="0"/>
                <w:bCs w:val="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972" w:type="dxa"/>
            <w:gridSpan w:val="6"/>
          </w:tcPr>
          <w:p>
            <w:pPr>
              <w:spacing w:line="240" w:lineRule="atLeast"/>
              <w:ind w:left="480" w:hanging="480" w:hangingChars="20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活动照片</w:t>
            </w:r>
          </w:p>
          <w:p>
            <w:pPr>
              <w:spacing w:line="240" w:lineRule="atLeast"/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9972" w:type="dxa"/>
            <w:gridSpan w:val="6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3310890</wp:posOffset>
                  </wp:positionH>
                  <wp:positionV relativeFrom="paragraph">
                    <wp:posOffset>175260</wp:posOffset>
                  </wp:positionV>
                  <wp:extent cx="2591435" cy="2162175"/>
                  <wp:effectExtent l="0" t="0" r="18415" b="9525"/>
                  <wp:wrapSquare wrapText="bothSides"/>
                  <wp:docPr id="2" name="图片 2" descr="9U6A7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U6A71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213360</wp:posOffset>
                  </wp:positionV>
                  <wp:extent cx="2920365" cy="2181860"/>
                  <wp:effectExtent l="0" t="0" r="13335" b="8890"/>
                  <wp:wrapSquare wrapText="bothSides"/>
                  <wp:docPr id="1" name="图片 1" descr="9U6A7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U6A73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365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kern w:val="0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TQ0ZTE4MDEwMjA0NGFiZGI2YWYzMzY4YjA0NzAifQ=="/>
  </w:docVars>
  <w:rsids>
    <w:rsidRoot w:val="00FC2154"/>
    <w:rsid w:val="00000C65"/>
    <w:rsid w:val="00081393"/>
    <w:rsid w:val="000B1265"/>
    <w:rsid w:val="00125732"/>
    <w:rsid w:val="00141032"/>
    <w:rsid w:val="00150A54"/>
    <w:rsid w:val="0015378E"/>
    <w:rsid w:val="00156C1B"/>
    <w:rsid w:val="00202AB8"/>
    <w:rsid w:val="002071F9"/>
    <w:rsid w:val="00220650"/>
    <w:rsid w:val="00275465"/>
    <w:rsid w:val="00294D1C"/>
    <w:rsid w:val="002C0EF2"/>
    <w:rsid w:val="002F568C"/>
    <w:rsid w:val="003068B4"/>
    <w:rsid w:val="003442F4"/>
    <w:rsid w:val="003473B7"/>
    <w:rsid w:val="003735EC"/>
    <w:rsid w:val="00375FD9"/>
    <w:rsid w:val="003A48EB"/>
    <w:rsid w:val="00400B68"/>
    <w:rsid w:val="00444A98"/>
    <w:rsid w:val="00484F8D"/>
    <w:rsid w:val="00495844"/>
    <w:rsid w:val="005C642F"/>
    <w:rsid w:val="00647663"/>
    <w:rsid w:val="00663F75"/>
    <w:rsid w:val="006E5FC8"/>
    <w:rsid w:val="007773EE"/>
    <w:rsid w:val="007C683C"/>
    <w:rsid w:val="007E5FCE"/>
    <w:rsid w:val="008344CC"/>
    <w:rsid w:val="0086690E"/>
    <w:rsid w:val="00877140"/>
    <w:rsid w:val="008E3D5F"/>
    <w:rsid w:val="00974E24"/>
    <w:rsid w:val="009771FA"/>
    <w:rsid w:val="00980B95"/>
    <w:rsid w:val="009840E4"/>
    <w:rsid w:val="009E5A6C"/>
    <w:rsid w:val="00A06794"/>
    <w:rsid w:val="00A41B4F"/>
    <w:rsid w:val="00B217C7"/>
    <w:rsid w:val="00B41554"/>
    <w:rsid w:val="00BD2DDF"/>
    <w:rsid w:val="00CB0CF0"/>
    <w:rsid w:val="00CB63AD"/>
    <w:rsid w:val="00CB68F0"/>
    <w:rsid w:val="00CF7785"/>
    <w:rsid w:val="00D44139"/>
    <w:rsid w:val="00D721AE"/>
    <w:rsid w:val="00D81AB4"/>
    <w:rsid w:val="00DD0925"/>
    <w:rsid w:val="00DD49D1"/>
    <w:rsid w:val="00DF6B7E"/>
    <w:rsid w:val="00E21798"/>
    <w:rsid w:val="00EA6F6B"/>
    <w:rsid w:val="00EC7A10"/>
    <w:rsid w:val="00ED4C7E"/>
    <w:rsid w:val="00EE092F"/>
    <w:rsid w:val="00EF687F"/>
    <w:rsid w:val="00F17A19"/>
    <w:rsid w:val="00F464B6"/>
    <w:rsid w:val="00FC2154"/>
    <w:rsid w:val="00FC30F4"/>
    <w:rsid w:val="02502415"/>
    <w:rsid w:val="027514D5"/>
    <w:rsid w:val="029649BE"/>
    <w:rsid w:val="034E1D12"/>
    <w:rsid w:val="035A427A"/>
    <w:rsid w:val="03BA378A"/>
    <w:rsid w:val="049B3EFC"/>
    <w:rsid w:val="066761DB"/>
    <w:rsid w:val="0978549A"/>
    <w:rsid w:val="0AAD1D93"/>
    <w:rsid w:val="0ADF1196"/>
    <w:rsid w:val="0C2D1CF8"/>
    <w:rsid w:val="0D3F25F9"/>
    <w:rsid w:val="1280499D"/>
    <w:rsid w:val="13801FF5"/>
    <w:rsid w:val="13E72FE5"/>
    <w:rsid w:val="14642239"/>
    <w:rsid w:val="14F07653"/>
    <w:rsid w:val="194F4FD8"/>
    <w:rsid w:val="1AE73F83"/>
    <w:rsid w:val="1CCF64DD"/>
    <w:rsid w:val="1E902CC6"/>
    <w:rsid w:val="1F192804"/>
    <w:rsid w:val="1FF92BB3"/>
    <w:rsid w:val="20285E17"/>
    <w:rsid w:val="205F0FDC"/>
    <w:rsid w:val="2181249F"/>
    <w:rsid w:val="237D3D41"/>
    <w:rsid w:val="254C443E"/>
    <w:rsid w:val="27352096"/>
    <w:rsid w:val="27C838A6"/>
    <w:rsid w:val="29355BD6"/>
    <w:rsid w:val="2D6D192B"/>
    <w:rsid w:val="30455753"/>
    <w:rsid w:val="30E127BE"/>
    <w:rsid w:val="33B95D1C"/>
    <w:rsid w:val="348547A8"/>
    <w:rsid w:val="34884392"/>
    <w:rsid w:val="358B758A"/>
    <w:rsid w:val="38625097"/>
    <w:rsid w:val="399E66CB"/>
    <w:rsid w:val="3A811B5D"/>
    <w:rsid w:val="3B1B3090"/>
    <w:rsid w:val="3E9A2AAB"/>
    <w:rsid w:val="3FF14348"/>
    <w:rsid w:val="40F32717"/>
    <w:rsid w:val="41592997"/>
    <w:rsid w:val="437F7F2B"/>
    <w:rsid w:val="46F2775B"/>
    <w:rsid w:val="48376AB4"/>
    <w:rsid w:val="49F36D42"/>
    <w:rsid w:val="4C57517F"/>
    <w:rsid w:val="4F6A7AFF"/>
    <w:rsid w:val="4FC32E70"/>
    <w:rsid w:val="504A31A9"/>
    <w:rsid w:val="50CA4610"/>
    <w:rsid w:val="535F3A8F"/>
    <w:rsid w:val="54112341"/>
    <w:rsid w:val="55EC4926"/>
    <w:rsid w:val="566F5DC5"/>
    <w:rsid w:val="59E83DB6"/>
    <w:rsid w:val="5A750B90"/>
    <w:rsid w:val="5C0A3EB9"/>
    <w:rsid w:val="5C883AC0"/>
    <w:rsid w:val="5D9407D9"/>
    <w:rsid w:val="5E871C10"/>
    <w:rsid w:val="60F862FD"/>
    <w:rsid w:val="61605977"/>
    <w:rsid w:val="619F609E"/>
    <w:rsid w:val="6247049A"/>
    <w:rsid w:val="65E00734"/>
    <w:rsid w:val="6EF87BE2"/>
    <w:rsid w:val="708B326D"/>
    <w:rsid w:val="70C82782"/>
    <w:rsid w:val="72894A42"/>
    <w:rsid w:val="72D205A7"/>
    <w:rsid w:val="75A33D06"/>
    <w:rsid w:val="75FD1BCA"/>
    <w:rsid w:val="7F9E4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4"/>
    <w:unhideWhenUsed/>
    <w:qFormat/>
    <w:uiPriority w:val="0"/>
    <w:pPr>
      <w:ind w:firstLine="435"/>
    </w:pPr>
    <w:rPr>
      <w:rFonts w:ascii="Times New Roman" w:hAnsi="Times New Roman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正文文本缩进 3 Char"/>
    <w:basedOn w:val="8"/>
    <w:link w:val="5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3CE-3DD7-4A0D-AB7F-2578A4690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1452</Words>
  <Characters>1464</Characters>
  <Lines>1</Lines>
  <Paragraphs>3</Paragraphs>
  <TotalTime>18</TotalTime>
  <ScaleCrop>false</ScaleCrop>
  <LinksUpToDate>false</LinksUpToDate>
  <CharactersWithSpaces>1486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2021-12-15T01:55:00Z</dcterms:created>
  <dc:creator>pc</dc:creator>
  <cp:lastModifiedBy>pc</cp:lastModifiedBy>
  <cp:lastPrinted>2019-01-22T01:40:00Z</cp:lastPrinted>
  <dcterms:modified xsi:type="dcterms:W3CDTF">2024-04-30T00:08:23Z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92E743EE07FD4E8DAB502AA94B98987A_13</vt:lpwstr>
  </property>
</Properties>
</file>